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3D6B58"/>
          <w:sz w:val="19"/>
        </w:rPr>
        <w:t>MODIFIABLE REQUEST FOR PROPOSALS (RFP) TEMPLATE  |  VNA-RFP-006</w:t>
      </w:r>
    </w:p>
    <w:p>
      <w:pPr>
        <w:pStyle w:val="Heading1"/>
      </w:pPr>
      <w:r>
        <w:rPr>
          <w:color w:val="1E2620"/>
        </w:rPr>
        <w:t>Request for Proposals (RFP): Legacy .NET WinForms &amp; ASP.NET WebForms (.aspx) Migration to Oracle APEX 24.2</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3D6B58"/>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1F2922"/>
          </w:tcPr>
          <w:p>
            <w:r>
              <w:rPr>
                <w:b/>
                <w:color w:val="FFFFFF"/>
                <w:sz w:val="19"/>
              </w:rPr>
              <w:t>Procurement Milestone / Field</w:t>
            </w:r>
          </w:p>
        </w:tc>
        <w:tc>
          <w:tcPr>
            <w:tcW w:type="dxa" w:w="5040"/>
            <w:shd w:val="clear" w:color="auto" w:fill="1F2922"/>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VNA-RFP-006 (Companion to Solution Brief VNA-SB-006)</w:t>
            </w:r>
          </w:p>
        </w:tc>
      </w:tr>
      <w:tr>
        <w:tc>
          <w:tcPr>
            <w:tcW w:type="dxa" w:w="5040"/>
          </w:tcPr>
          <w:p>
            <w:r>
              <w:rPr>
                <w:b/>
              </w:rPr>
              <w:t>RFP Issue Date</w:t>
            </w:r>
          </w:p>
        </w:tc>
        <w:tc>
          <w:tcPr>
            <w:tcW w:type="dxa" w:w="5040"/>
          </w:tcPr>
          <w:p>
            <w:r>
              <w:t>[2026-10-27]</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.NET Framework 2.0-4.8 (WinForms, WebForms .aspx, WCF, C# / VB.NET) environment to Oracle APEX 24.2, ORDS REST APIs, PL/SQL &amp; OCI Cloud Native.</w:t>
      </w:r>
    </w:p>
    <w:p>
      <w:pPr>
        <w:pStyle w:val="ListBullet"/>
      </w:pPr>
      <w:r>
        <w:t>Legacy .NET Framework 2.0-4.8 applications rely on ASP.NET WebForms (`.aspx` with bloated ViewState payloads and Telerik/DevExpress third-party controls) or WinForms thick clients distributed via ClickOnce.</w:t>
      </w:r>
    </w:p>
    <w:p>
      <w:pPr>
        <w:pStyle w:val="ListBullet"/>
      </w:pPr>
      <w:r>
        <w:t>Microsoft's modern .NET 8/9 core runtime does not support ASP.NET WebForms or WCF Server natively, forcing IT leaders into an expensive full-stack rewrite just to get off end-of-life Windows Server hosts.</w:t>
      </w:r>
    </w:p>
    <w:p>
      <w:pPr>
        <w:pStyle w:val="ListBullet"/>
      </w:pPr>
      <w:r>
        <w:t>In data-driven enterprise apps, 75% of the C# or VB.NET codebase consists of repetitive ADO.NET / Entity Framework plumbing, DTO mapping, and grid binding.</w:t>
      </w:r>
    </w:p>
    <w:p>
      <w:pPr>
        <w:pStyle w:val="Heading2"/>
      </w:pPr>
      <w:r>
        <w:rPr>
          <w:color w:val="3D6B58"/>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3D6B58"/>
          </w:tcPr>
          <w:p>
            <w:r>
              <w:rPr>
                <w:b/>
                <w:color w:val="FFFFFF"/>
                <w:sz w:val="19"/>
              </w:rPr>
              <w:t>Inventory Dimension</w:t>
            </w:r>
          </w:p>
        </w:tc>
        <w:tc>
          <w:tcPr>
            <w:tcW w:type="dxa" w:w="3360"/>
            <w:shd w:val="clear" w:color="auto" w:fill="3D6B58"/>
          </w:tcPr>
          <w:p>
            <w:r>
              <w:rPr>
                <w:b/>
                <w:color w:val="FFFFFF"/>
                <w:sz w:val="19"/>
              </w:rPr>
              <w:t>Current Baseline Footprint (Editable)</w:t>
            </w:r>
          </w:p>
        </w:tc>
        <w:tc>
          <w:tcPr>
            <w:tcW w:type="dxa" w:w="3360"/>
            <w:shd w:val="clear" w:color="auto" w:fill="3D6B58"/>
          </w:tcPr>
          <w:p>
            <w:r>
              <w:rPr>
                <w:b/>
                <w:color w:val="FFFFFF"/>
                <w:sz w:val="19"/>
              </w:rPr>
              <w:t>Target Modernization SLA / Objective</w:t>
            </w:r>
          </w:p>
        </w:tc>
      </w:tr>
      <w:tr>
        <w:tc>
          <w:tcPr>
            <w:tcW w:type="dxa" w:w="3360"/>
          </w:tcPr>
          <w:p>
            <w:r>
              <w:rPr>
                <w:b/>
              </w:rPr>
              <w:t>Legacy Source Stack (Stack X)</w:t>
            </w:r>
          </w:p>
        </w:tc>
        <w:tc>
          <w:tcPr>
            <w:tcW w:type="dxa" w:w="3360"/>
          </w:tcPr>
          <w:p>
            <w:r>
              <w:t>.NET Framework 2.0-4.8 (WinForms, WebForms .aspx, WCF, C# / VB.NET)</w:t>
            </w:r>
          </w:p>
        </w:tc>
        <w:tc>
          <w:tcPr>
            <w:tcW w:type="dxa" w:w="3360"/>
          </w:tcPr>
          <w:p>
            <w:r>
              <w:t>Full retirement / modernization</w:t>
            </w:r>
          </w:p>
        </w:tc>
      </w:tr>
      <w:tr>
        <w:tc>
          <w:tcPr>
            <w:tcW w:type="dxa" w:w="3360"/>
          </w:tcPr>
          <w:p>
            <w:r>
              <w:rPr>
                <w:b/>
              </w:rPr>
              <w:t>Target Architecture (Stack Y)</w:t>
            </w:r>
          </w:p>
        </w:tc>
        <w:tc>
          <w:tcPr>
            <w:tcW w:type="dxa" w:w="3360"/>
          </w:tcPr>
          <w:p>
            <w:r>
              <w:t>Oracle APEX 24.2, ORDS REST APIs, PL/SQL &amp; OCI Cloud Native</w:t>
            </w:r>
          </w:p>
        </w:tc>
        <w:tc>
          <w:tcPr>
            <w:tcW w:type="dxa" w:w="3360"/>
          </w:tcPr>
          <w:p>
            <w:r>
              <w:t>Production HA/DR &amp; security governance</w:t>
            </w:r>
          </w:p>
        </w:tc>
      </w:tr>
      <w:tr>
        <w:tc>
          <w:tcPr>
            <w:tcW w:type="dxa" w:w="3360"/>
          </w:tcPr>
          <w:p>
            <w:r>
              <w:rPr>
                <w:b/>
              </w:rPr>
              <w:t>WinForms / .ASPX Screens</w:t>
            </w:r>
          </w:p>
        </w:tc>
        <w:tc>
          <w:tcPr>
            <w:tcW w:type="dxa" w:w="3360"/>
          </w:tcPr>
          <w:p>
            <w:r>
              <w:t>[Insert Count, e.g., 150 forms]</w:t>
            </w:r>
          </w:p>
        </w:tc>
        <w:tc>
          <w:tcPr>
            <w:tcW w:type="dxa" w:w="3360"/>
          </w:tcPr>
          <w:p>
            <w:r>
              <w:t>100% functional parity &amp; optimization</w:t>
            </w:r>
          </w:p>
        </w:tc>
      </w:tr>
      <w:tr>
        <w:tc>
          <w:tcPr>
            <w:tcW w:type="dxa" w:w="3360"/>
          </w:tcPr>
          <w:p>
            <w:r>
              <w:rPr>
                <w:b/>
              </w:rPr>
              <w:t>RDLC / Crystal Reports &amp; Data Access Classes</w:t>
            </w:r>
          </w:p>
        </w:tc>
        <w:tc>
          <w:tcPr>
            <w:tcW w:type="dxa" w:w="3360"/>
          </w:tcPr>
          <w:p>
            <w:r>
              <w:t>[Insert Count, e.g., 280 reports/DAOs]</w:t>
            </w:r>
          </w:p>
        </w:tc>
        <w:tc>
          <w:tcPr>
            <w:tcW w:type="dxa" w:w="3360"/>
          </w:tcPr>
          <w:p>
            <w:r>
              <w:t>Automated AST &amp; schema uplift</w:t>
            </w:r>
          </w:p>
        </w:tc>
      </w:tr>
      <w:tr>
        <w:tc>
          <w:tcPr>
            <w:tcW w:type="dxa" w:w="3360"/>
          </w:tcPr>
          <w:p>
            <w:r>
              <w:rPr>
                <w:b/>
              </w:rPr>
              <w:t>Query Fan-Out Rationalization (Core SQL Views + Runtime/Inference Filters)</w:t>
            </w:r>
          </w:p>
        </w:tc>
        <w:tc>
          <w:tcPr>
            <w:tcW w:type="dxa" w:w="3360"/>
          </w:tcPr>
          <w:p>
            <w:r>
              <w:t>[Insert Count, e.g., 75 % fan-out reduction]</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3D6B58"/>
        </w:rPr>
        <w:t>Section 3: Mandatory Technical Scope of Work &amp; Conversion Matrix</w:t>
      </w:r>
    </w:p>
    <w:p>
      <w:pPr>
        <w:pStyle w:val="ListNumber"/>
      </w:pPr>
      <w:r>
        <w:rPr>
          <w:b/>
        </w:rPr>
        <w:t xml:space="preserve">[REQ-ARCH-01] </w:t>
      </w:r>
      <w:r>
        <w:t>Roslyn AST &amp; SQL Dependency Extraction: We analyze your Visual Studio `.sln` / `.csproj` / `.vbproj` repositories, mapping every WinForms screen, `.aspx` page, WCF contract, and `Oracle.ManagedDataAccess` / `SqlClient` query.</w:t>
      </w:r>
    </w:p>
    <w:p>
      <w:pPr>
        <w:pStyle w:val="ListNumber"/>
      </w:pPr>
      <w:r>
        <w:rPr>
          <w:b/>
        </w:rPr>
        <w:t xml:space="preserve">[REQ-ARCH-02] </w:t>
      </w:r>
      <w:r>
        <w:t>Data-Tier Pushdown to PL/SQL &amp; Views: Multi-tier C#/VB.NET data orchestration loops that pull thousands of rows over the network are rewritten as high-performance, set-based Oracle SQL views and PL/SQL packages executing at zero network latency.</w:t>
      </w:r>
    </w:p>
    <w:p>
      <w:pPr>
        <w:pStyle w:val="ListNumber"/>
      </w:pPr>
      <w:r>
        <w:rPr>
          <w:b/>
        </w:rPr>
        <w:t xml:space="preserve">[REQ-ARCH-03] </w:t>
      </w:r>
      <w:r>
        <w:t>WebForms / WinForms to APEX 24.2 Universal Theme: Third-party Telerik, Infragistics, and DevExpress grids are replaced with native APEX 24.2 Interactive Grids, Faceted Search, and Smart Filters.</w:t>
      </w:r>
    </w:p>
    <w:p>
      <w:pPr>
        <w:pStyle w:val="ListNumber"/>
      </w:pPr>
      <w:r>
        <w:rPr>
          <w:b/>
        </w:rPr>
        <w:t xml:space="preserve">[REQ-ARCH-04] </w:t>
      </w:r>
      <w:r>
        <w:t>WCF SOAP to ORDS OpenAPI 3.1: Legacy WCF `.svc` endpoints and Windows Services are replaced by stateless Oracle REST Data Services (ORDS) handlers and `DBMS_SCHEDULER` background jobs.</w:t>
      </w:r>
    </w:p>
    <w:p>
      <w:pPr>
        <w:pStyle w:val="ListNumber"/>
      </w:pPr>
      <w:r>
        <w:rPr>
          <w:b/>
        </w:rPr>
        <w:t xml:space="preserve">[REQ-ARCH-05] </w:t>
      </w:r>
      <w:r>
        <w:t>Query Fan-Out Rationalization &amp; Runtime/Inference Filtering: Instead of migrating cloned reports and DataWindows 1-for-1, our AST SQL parser clusters queries by their canonical core JOIN graph, builds governed Oracle 23ai views only for those core queries, and generates dynamic WHERE clauses, faceted filters, and ad-hoc report variations at runtime and via AI inference (APEX 24.2 Smart Filters &amp; Select AI).</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F2922"/>
          </w:tcPr>
          <w:p>
            <w:r>
              <w:rPr>
                <w:b/>
                <w:color w:val="FFFFFF"/>
                <w:sz w:val="19"/>
              </w:rPr>
              <w:t>Req ID</w:t>
            </w:r>
          </w:p>
        </w:tc>
        <w:tc>
          <w:tcPr>
            <w:tcW w:type="dxa" w:w="2520"/>
            <w:shd w:val="clear" w:color="auto" w:fill="1F2922"/>
          </w:tcPr>
          <w:p>
            <w:r>
              <w:rPr>
                <w:b/>
                <w:color w:val="FFFFFF"/>
                <w:sz w:val="19"/>
              </w:rPr>
              <w:t>Legacy Artifact / Baseline Workload</w:t>
            </w:r>
          </w:p>
        </w:tc>
        <w:tc>
          <w:tcPr>
            <w:tcW w:type="dxa" w:w="2520"/>
            <w:shd w:val="clear" w:color="auto" w:fill="1F2922"/>
          </w:tcPr>
          <w:p>
            <w:r>
              <w:rPr>
                <w:b/>
                <w:color w:val="FFFFFF"/>
                <w:sz w:val="19"/>
              </w:rPr>
              <w:t>Required Target Architecture</w:t>
            </w:r>
          </w:p>
        </w:tc>
        <w:tc>
          <w:tcPr>
            <w:tcW w:type="dxa" w:w="2520"/>
            <w:shd w:val="clear" w:color="auto" w:fill="1F2922"/>
          </w:tcPr>
          <w:p>
            <w:r>
              <w:rPr>
                <w:b/>
                <w:color w:val="FFFFFF"/>
                <w:sz w:val="19"/>
              </w:rPr>
              <w:t>Engineering Method &amp; Acceptance Gate</w:t>
            </w:r>
          </w:p>
        </w:tc>
      </w:tr>
      <w:tr>
        <w:tc>
          <w:tcPr>
            <w:tcW w:type="dxa" w:w="2520"/>
          </w:tcPr>
          <w:p>
            <w:r>
              <w:rPr>
                <w:b/>
              </w:rPr>
              <w:t>REQ-01</w:t>
            </w:r>
          </w:p>
        </w:tc>
        <w:tc>
          <w:tcPr>
            <w:tcW w:type="dxa" w:w="2520"/>
          </w:tcPr>
          <w:p>
            <w:r>
              <w:t>ASP.NET WebForms (`.aspx` + `.aspx.cs` ViewState)</w:t>
            </w:r>
          </w:p>
        </w:tc>
        <w:tc>
          <w:tcPr>
            <w:tcW w:type="dxa" w:w="2520"/>
          </w:tcPr>
          <w:p>
            <w:r>
              <w:t>APEX 24.2 Pages + Stateless AJAX Dynamic Actions</w:t>
            </w:r>
          </w:p>
        </w:tc>
        <w:tc>
          <w:tcPr>
            <w:tcW w:type="dxa" w:w="2520"/>
          </w:tcPr>
          <w:p>
            <w:r>
              <w:t>Declarative Region &amp; Page Item Synthesis</w:t>
            </w:r>
          </w:p>
        </w:tc>
      </w:tr>
      <w:tr>
        <w:tc>
          <w:tcPr>
            <w:tcW w:type="dxa" w:w="2520"/>
          </w:tcPr>
          <w:p>
            <w:r>
              <w:rPr>
                <w:b/>
              </w:rPr>
              <w:t>REQ-02</w:t>
            </w:r>
          </w:p>
        </w:tc>
        <w:tc>
          <w:tcPr>
            <w:tcW w:type="dxa" w:w="2520"/>
          </w:tcPr>
          <w:p>
            <w:r>
              <w:t>WinForms `DataGridView` / Telerik `RadGrid`</w:t>
            </w:r>
          </w:p>
        </w:tc>
        <w:tc>
          <w:tcPr>
            <w:tcW w:type="dxa" w:w="2520"/>
          </w:tcPr>
          <w:p>
            <w:r>
              <w:t>APEX 24.2 Interactive Grid &amp; Interactive Report</w:t>
            </w:r>
          </w:p>
        </w:tc>
        <w:tc>
          <w:tcPr>
            <w:tcW w:type="dxa" w:w="2520"/>
          </w:tcPr>
          <w:p>
            <w:r>
              <w:t>Native Grid Configuration &amp; Saved Report Views</w:t>
            </w:r>
          </w:p>
        </w:tc>
      </w:tr>
      <w:tr>
        <w:tc>
          <w:tcPr>
            <w:tcW w:type="dxa" w:w="2520"/>
          </w:tcPr>
          <w:p>
            <w:r>
              <w:rPr>
                <w:b/>
              </w:rPr>
              <w:t>REQ-03</w:t>
            </w:r>
          </w:p>
        </w:tc>
        <w:tc>
          <w:tcPr>
            <w:tcW w:type="dxa" w:w="2520"/>
          </w:tcPr>
          <w:p>
            <w:r>
              <w:t>ADO.NET / Entity Framework / Dapper DAL</w:t>
            </w:r>
          </w:p>
        </w:tc>
        <w:tc>
          <w:tcPr>
            <w:tcW w:type="dxa" w:w="2520"/>
          </w:tcPr>
          <w:p>
            <w:r>
              <w:t>Direct In-Database SQL &amp; PL/SQL Package APIs</w:t>
            </w:r>
          </w:p>
        </w:tc>
        <w:tc>
          <w:tcPr>
            <w:tcW w:type="dxa" w:w="2520"/>
          </w:tcPr>
          <w:p>
            <w:r>
              <w:t>Elimination of Middle-Tier ORM Serialization</w:t>
            </w:r>
          </w:p>
        </w:tc>
      </w:tr>
      <w:tr>
        <w:tc>
          <w:tcPr>
            <w:tcW w:type="dxa" w:w="2520"/>
          </w:tcPr>
          <w:p>
            <w:r>
              <w:rPr>
                <w:b/>
              </w:rPr>
              <w:t>REQ-04</w:t>
            </w:r>
          </w:p>
        </w:tc>
        <w:tc>
          <w:tcPr>
            <w:tcW w:type="dxa" w:w="2520"/>
          </w:tcPr>
          <w:p>
            <w:r>
              <w:t>WCF Services (`.svc`) &amp; ASMX Web Services</w:t>
            </w:r>
          </w:p>
        </w:tc>
        <w:tc>
          <w:tcPr>
            <w:tcW w:type="dxa" w:w="2520"/>
          </w:tcPr>
          <w:p>
            <w:r>
              <w:t>Oracle REST Data Services (ORDS) OAuth2 APIs</w:t>
            </w:r>
          </w:p>
        </w:tc>
        <w:tc>
          <w:tcPr>
            <w:tcW w:type="dxa" w:w="2520"/>
          </w:tcPr>
          <w:p>
            <w:r>
              <w:t>AutoREST &amp; PL/SQL REST Handler Migration</w:t>
            </w:r>
          </w:p>
        </w:tc>
      </w:tr>
      <w:tr>
        <w:tc>
          <w:tcPr>
            <w:tcW w:type="dxa" w:w="2520"/>
          </w:tcPr>
          <w:p>
            <w:r>
              <w:rPr>
                <w:b/>
              </w:rPr>
              <w:t>REQ-05</w:t>
            </w:r>
          </w:p>
        </w:tc>
        <w:tc>
          <w:tcPr>
            <w:tcW w:type="dxa" w:w="2520"/>
          </w:tcPr>
          <w:p>
            <w:r>
              <w:t>SSRS Reports (`.rdl`) / Crystal Reports (`.rpt`)</w:t>
            </w:r>
          </w:p>
        </w:tc>
        <w:tc>
          <w:tcPr>
            <w:tcW w:type="dxa" w:w="2520"/>
          </w:tcPr>
          <w:p>
            <w:r>
              <w:t>APEX Interactive Reports + APEX Office Print (AOP)</w:t>
            </w:r>
          </w:p>
        </w:tc>
        <w:tc>
          <w:tcPr>
            <w:tcW w:type="dxa" w:w="2520"/>
          </w:tcPr>
          <w:p>
            <w:r>
              <w:t>SQL Query Migration &amp; Native Export Templates</w:t>
            </w:r>
          </w:p>
        </w:tc>
      </w:tr>
      <w:tr>
        <w:tc>
          <w:tcPr>
            <w:tcW w:type="dxa" w:w="2520"/>
          </w:tcPr>
          <w:p>
            <w:r>
              <w:rPr>
                <w:b/>
              </w:rPr>
              <w:t>REQ-06</w:t>
            </w:r>
          </w:p>
        </w:tc>
        <w:tc>
          <w:tcPr>
            <w:tcW w:type="dxa" w:w="2520"/>
          </w:tcPr>
          <w:p>
            <w:r>
              <w:t>Cloned Reports / Queries Differing Only by WHERE Clause or Group-By (Query Fan-Out)</w:t>
            </w:r>
          </w:p>
        </w:tc>
        <w:tc>
          <w:tcPr>
            <w:tcW w:type="dxa" w:w="2520"/>
          </w:tcPr>
          <w:p>
            <w:r>
              <w:t>Canonical Core SQL View + APEX 24.2 Runtime / AI Inference Filters</w:t>
            </w:r>
          </w:p>
        </w:tc>
        <w:tc>
          <w:tcPr>
            <w:tcW w:type="dxa" w:w="2520"/>
          </w:tcPr>
          <w:p>
            <w:r>
              <w:t>AST Join-Graph Clustering (75-90% Report Count Reduction)</w:t>
            </w:r>
          </w:p>
        </w:tc>
      </w:tr>
    </w:tbl>
    <w:p>
      <w:pPr>
        <w:pStyle w:val="Heading2"/>
      </w:pPr>
      <w:r>
        <w:rPr>
          <w:color w:val="3D6B58"/>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Can we keep our existing Azure DevOps or GitHub Actions CI/CD pipelines when moving from .NET to APEX?   [Evaluator Score: ___ / 10]</w:t>
      </w:r>
    </w:p>
    <w:p>
      <w:pPr>
        <w:pStyle w:val="ListBullet"/>
      </w:pPr>
      <w:r>
        <w:rPr>
          <w:b/>
        </w:rPr>
        <w:t xml:space="preserve">Reference Evaluation Benchmark: </w:t>
      </w:r>
      <w:r>
        <w:t>Yes. Using Oracle SQLcl Projects and Liquibase, every APEX page, shared component, and PL/SQL package is exported as readable YAML/SQL files into Git and deployed automatically via Azure DevOps or GitHub Actions.</w:t>
      </w:r>
    </w:p>
    <w:p>
      <w:pPr>
        <w:pStyle w:val="ListBullet"/>
      </w:pPr>
      <w:r>
        <w:rPr>
          <w:b/>
        </w:rPr>
        <w:t xml:space="preserve">Vendor Written Response: </w:t>
      </w:r>
      <w:r>
        <w:t>[Bidder to insert concrete technical architecture and verifiable production proof here]</w:t>
      </w:r>
    </w:p>
    <w:p>
      <w:r>
        <w:rPr>
          <w:b/>
        </w:rPr>
        <w:t>Vendor Question 2: How do you integrate APEX with Microsoft Entra ID (Azure AD) and Office 365?   [Evaluator Score: ___ / 10]</w:t>
      </w:r>
    </w:p>
    <w:p>
      <w:pPr>
        <w:pStyle w:val="ListBullet"/>
      </w:pPr>
      <w:r>
        <w:rPr>
          <w:b/>
        </w:rPr>
        <w:t xml:space="preserve">Reference Evaluation Benchmark: </w:t>
      </w:r>
      <w:r>
        <w:t>Oracle APEX 24.2 supports native OpenID Connect (OIDC) authentication with Microsoft Entra ID out of the box, and our AMP framework integrates directly with Microsoft Graph REST APIs for SharePoint, Outlook, and Teams automation.</w:t>
      </w:r>
    </w:p>
    <w:p>
      <w:pPr>
        <w:pStyle w:val="ListBullet"/>
      </w:pPr>
      <w:r>
        <w:rPr>
          <w:b/>
        </w:rPr>
        <w:t xml:space="preserve">Vendor Written Response: </w:t>
      </w:r>
      <w:r>
        <w:t>[Bidder to insert concrete technical architecture and verifiable production proof here]</w:t>
      </w:r>
    </w:p>
    <w:p>
      <w:r>
        <w:rPr>
          <w:b/>
        </w:rPr>
        <w:t>Vendor Question 3: What is included in the downloadable PDF Solution Brief?   [Evaluator Score: ___ / 10]</w:t>
      </w:r>
    </w:p>
    <w:p>
      <w:pPr>
        <w:pStyle w:val="ListBullet"/>
      </w:pPr>
      <w:r>
        <w:rPr>
          <w:b/>
        </w:rPr>
        <w:t xml:space="preserve">Reference Evaluation Benchmark: </w:t>
      </w:r>
      <w:r>
        <w:t>The PDF Solution Brief includes the .NET WinForms/WebForms-to-APEX architectural comparison, ORM-to-PL/SQL latency benchmarks, and an Azure DevOps SQLcl Liquibase pipeline blueprint.</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3D6B58"/>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F2922"/>
          </w:tcPr>
          <w:p>
            <w:r>
              <w:rPr>
                <w:b/>
                <w:color w:val="FFFFFF"/>
                <w:sz w:val="19"/>
              </w:rPr>
              <w:t>Milestone / Phase</w:t>
            </w:r>
          </w:p>
        </w:tc>
        <w:tc>
          <w:tcPr>
            <w:tcW w:type="dxa" w:w="2520"/>
            <w:shd w:val="clear" w:color="auto" w:fill="1F2922"/>
          </w:tcPr>
          <w:p>
            <w:r>
              <w:rPr>
                <w:b/>
                <w:color w:val="FFFFFF"/>
                <w:sz w:val="19"/>
              </w:rPr>
              <w:t>Deliverable &amp; Acceptance Gate</w:t>
            </w:r>
          </w:p>
        </w:tc>
        <w:tc>
          <w:tcPr>
            <w:tcW w:type="dxa" w:w="2520"/>
            <w:shd w:val="clear" w:color="auto" w:fill="1F2922"/>
          </w:tcPr>
          <w:p>
            <w:r>
              <w:rPr>
                <w:b/>
                <w:color w:val="FFFFFF"/>
                <w:sz w:val="19"/>
              </w:rPr>
              <w:t>Fixed Fee (USD)</w:t>
            </w:r>
          </w:p>
        </w:tc>
        <w:tc>
          <w:tcPr>
            <w:tcW w:type="dxa" w:w="2520"/>
            <w:shd w:val="clear" w:color="auto" w:fill="1F2922"/>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(VNA-RFP-006)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VNA-RFP-006  |  https://dotnet-winforms-to-apex.web.app/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